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64" w:rsidRDefault="00022A64" w:rsidP="00022A64">
      <w:pPr>
        <w:pStyle w:val="Textoindependiente"/>
        <w:rPr>
          <w:i w:val="0"/>
          <w:sz w:val="20"/>
        </w:rPr>
      </w:pPr>
      <w:r>
        <w:rPr>
          <w:i w:val="0"/>
          <w:noProof/>
          <w:sz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-346710</wp:posOffset>
            </wp:positionV>
            <wp:extent cx="8096250" cy="2238375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140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Default="00022A64" w:rsidP="00022A64">
      <w:pPr>
        <w:pStyle w:val="Textoindependiente"/>
        <w:rPr>
          <w:i w:val="0"/>
          <w:sz w:val="20"/>
        </w:rPr>
      </w:pPr>
    </w:p>
    <w:p w:rsidR="00022A64" w:rsidRPr="008D3D2D" w:rsidRDefault="00022A64" w:rsidP="00022A64">
      <w:pPr>
        <w:spacing w:before="195"/>
        <w:ind w:left="1903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z w:val="54"/>
          <w:lang w:val="es-MX"/>
        </w:rPr>
        <w:t>INFORME</w:t>
      </w:r>
    </w:p>
    <w:p w:rsidR="00022A64" w:rsidRPr="008D3D2D" w:rsidRDefault="00022A64" w:rsidP="00022A64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54"/>
          <w:lang w:val="es-MX"/>
        </w:rPr>
      </w:pPr>
      <w:r w:rsidRPr="008D3D2D">
        <w:rPr>
          <w:rFonts w:ascii="Times New Roman"/>
          <w:b/>
          <w:spacing w:val="33"/>
          <w:sz w:val="54"/>
          <w:lang w:val="es-MX"/>
        </w:rPr>
        <w:t xml:space="preserve">MENSUAL </w:t>
      </w:r>
      <w:r w:rsidRPr="008D3D2D">
        <w:rPr>
          <w:rFonts w:ascii="Times New Roman"/>
          <w:b/>
          <w:spacing w:val="21"/>
          <w:sz w:val="54"/>
          <w:lang w:val="es-MX"/>
        </w:rPr>
        <w:t xml:space="preserve">DE </w:t>
      </w:r>
      <w:r w:rsidRPr="008D3D2D">
        <w:rPr>
          <w:rFonts w:ascii="Times New Roman"/>
          <w:b/>
          <w:spacing w:val="33"/>
          <w:sz w:val="54"/>
          <w:lang w:val="es-MX"/>
        </w:rPr>
        <w:t>ACTIVIDADES</w:t>
      </w:r>
    </w:p>
    <w:p w:rsidR="00022A64" w:rsidRPr="008D3D2D" w:rsidRDefault="00764F09" w:rsidP="00022A64">
      <w:pPr>
        <w:spacing w:before="425"/>
        <w:ind w:left="2976" w:hanging="3118"/>
        <w:jc w:val="center"/>
        <w:rPr>
          <w:rFonts w:ascii="Times New Roman" w:hAnsi="Times New Roman"/>
          <w:b/>
          <w:i/>
          <w:sz w:val="38"/>
          <w:lang w:val="es-MX"/>
        </w:rPr>
      </w:pPr>
      <w:r>
        <w:rPr>
          <w:rFonts w:ascii="Times New Roman" w:hAnsi="Times New Roman"/>
          <w:b/>
          <w:i/>
          <w:color w:val="75913B"/>
          <w:sz w:val="38"/>
          <w:lang w:val="es-MX"/>
        </w:rPr>
        <w:t>Marzo</w:t>
      </w:r>
      <w:r w:rsidR="00022A64">
        <w:rPr>
          <w:rFonts w:ascii="Times New Roman" w:hAnsi="Times New Roman"/>
          <w:b/>
          <w:i/>
          <w:color w:val="75913B"/>
          <w:sz w:val="38"/>
          <w:lang w:val="es-MX"/>
        </w:rPr>
        <w:t xml:space="preserve">  </w:t>
      </w:r>
      <w:r w:rsidR="00022A64" w:rsidRPr="008D3D2D">
        <w:rPr>
          <w:rFonts w:ascii="Times New Roman" w:hAnsi="Times New Roman"/>
          <w:b/>
          <w:i/>
          <w:color w:val="75913B"/>
          <w:spacing w:val="69"/>
          <w:sz w:val="38"/>
          <w:lang w:val="es-MX"/>
        </w:rPr>
        <w:t xml:space="preserve"> </w:t>
      </w:r>
      <w:r w:rsidR="00022A64" w:rsidRPr="008D3D2D">
        <w:rPr>
          <w:rFonts w:ascii="Times New Roman" w:hAnsi="Times New Roman"/>
          <w:b/>
          <w:i/>
          <w:color w:val="75913B"/>
          <w:sz w:val="38"/>
          <w:lang w:val="es-MX"/>
        </w:rPr>
        <w:t>201</w:t>
      </w:r>
      <w:r w:rsidR="00022A64">
        <w:rPr>
          <w:rFonts w:ascii="Times New Roman" w:hAnsi="Times New Roman"/>
          <w:b/>
          <w:i/>
          <w:color w:val="75913B"/>
          <w:sz w:val="38"/>
          <w:lang w:val="es-MX"/>
        </w:rPr>
        <w:t>7</w:t>
      </w:r>
    </w:p>
    <w:p w:rsidR="00022A64" w:rsidRPr="008D3D2D" w:rsidRDefault="00022A64" w:rsidP="00022A64">
      <w:pPr>
        <w:pStyle w:val="Textoindependiente"/>
        <w:rPr>
          <w:b/>
          <w:sz w:val="38"/>
          <w:lang w:val="es-MX"/>
        </w:rPr>
      </w:pPr>
    </w:p>
    <w:p w:rsidR="00022A64" w:rsidRPr="008D3D2D" w:rsidRDefault="00022A64" w:rsidP="00022A64">
      <w:pPr>
        <w:pStyle w:val="Textoindependiente"/>
        <w:spacing w:before="5"/>
        <w:rPr>
          <w:b/>
          <w:sz w:val="39"/>
          <w:lang w:val="es-MX"/>
        </w:rPr>
      </w:pPr>
    </w:p>
    <w:p w:rsidR="00022A64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María Guadalupe Zamora Murillo.</w:t>
      </w:r>
    </w:p>
    <w:p w:rsidR="00022A64" w:rsidRPr="008D3D2D" w:rsidRDefault="00022A64" w:rsidP="00022A64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  <w:lang w:val="es-MX"/>
        </w:rPr>
      </w:pPr>
      <w:r>
        <w:rPr>
          <w:rFonts w:ascii="Times New Roman" w:hAnsi="Times New Roman"/>
          <w:b/>
          <w:sz w:val="31"/>
          <w:lang w:val="es-MX"/>
        </w:rPr>
        <w:t>Director de Servicios Públicos Municipales.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noProof/>
          <w:sz w:val="2"/>
          <w:lang w:val="es-MX" w:eastAsia="es-MX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  <w:r>
        <w:rPr>
          <w:i w:val="0"/>
          <w:sz w:val="2"/>
          <w:lang w:val="es-ES"/>
        </w:rPr>
        <w:t>Ç</w:t>
      </w: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Pr="00C00DE4" w:rsidRDefault="00022A64" w:rsidP="00022A64">
      <w:pPr>
        <w:pStyle w:val="Textoindependiente"/>
        <w:spacing w:line="20" w:lineRule="exact"/>
        <w:ind w:left="585"/>
        <w:rPr>
          <w:i w:val="0"/>
          <w:sz w:val="2"/>
          <w:lang w:val="es-ES"/>
        </w:rPr>
      </w:pPr>
    </w:p>
    <w:p w:rsidR="00022A64" w:rsidRDefault="00022A64" w:rsidP="00022A64"/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022A64" w:rsidRPr="008B6BC5" w:rsidTr="009651CA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022A64" w:rsidRPr="008B6BC5" w:rsidRDefault="00022A64" w:rsidP="009651C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022A64" w:rsidRPr="008B6BC5" w:rsidRDefault="00022A64" w:rsidP="009651CA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Logros o actividades:</w:t>
            </w:r>
          </w:p>
        </w:tc>
      </w:tr>
      <w:tr w:rsidR="00022A64" w:rsidRPr="00764F09" w:rsidTr="009651CA">
        <w:trPr>
          <w:trHeight w:val="635"/>
        </w:trPr>
        <w:tc>
          <w:tcPr>
            <w:tcW w:w="2802" w:type="dxa"/>
          </w:tcPr>
          <w:p w:rsidR="00022A64" w:rsidRPr="005A7C53" w:rsidRDefault="00022A64" w:rsidP="009651C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Público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>Orgánicos:</w:t>
            </w:r>
            <w:r w:rsidRPr="004D2F1B">
              <w:rPr>
                <w:rFonts w:ascii="Arial" w:hAnsi="Arial" w:cs="Arial"/>
              </w:rPr>
              <w:t xml:space="preserve"> </w:t>
            </w:r>
            <w:r w:rsidR="00764F09">
              <w:rPr>
                <w:rFonts w:ascii="Arial" w:hAnsi="Arial" w:cs="Arial"/>
              </w:rPr>
              <w:t>269.325</w:t>
            </w:r>
            <w:r>
              <w:rPr>
                <w:rFonts w:ascii="Arial" w:hAnsi="Arial" w:cs="Arial"/>
              </w:rPr>
              <w:t xml:space="preserve"> TON.</w:t>
            </w:r>
          </w:p>
          <w:p w:rsidR="00022A64" w:rsidRPr="004D2F1B" w:rsidRDefault="00022A64" w:rsidP="009651C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D2F1B">
              <w:rPr>
                <w:rFonts w:ascii="Arial" w:hAnsi="Arial" w:cs="Arial"/>
                <w:b/>
              </w:rPr>
              <w:t xml:space="preserve">Inorgánica: </w:t>
            </w:r>
            <w:r w:rsidR="00764F09">
              <w:rPr>
                <w:rFonts w:ascii="Arial" w:hAnsi="Arial" w:cs="Arial"/>
              </w:rPr>
              <w:t>59.805</w:t>
            </w:r>
            <w:r>
              <w:rPr>
                <w:rFonts w:ascii="Arial" w:hAnsi="Arial" w:cs="Arial"/>
              </w:rPr>
              <w:t xml:space="preserve"> TON.</w:t>
            </w:r>
          </w:p>
          <w:p w:rsidR="00022A64" w:rsidRPr="00765CF3" w:rsidRDefault="00022A64" w:rsidP="00764F09">
            <w:pPr>
              <w:pStyle w:val="Prrafodelista"/>
              <w:numPr>
                <w:ilvl w:val="0"/>
                <w:numId w:val="1"/>
              </w:numPr>
            </w:pPr>
            <w:r w:rsidRPr="004D2F1B">
              <w:rPr>
                <w:rFonts w:ascii="Arial" w:hAnsi="Arial" w:cs="Arial"/>
                <w:b/>
              </w:rPr>
              <w:t>Basura:</w:t>
            </w:r>
            <w:r w:rsidRPr="004D2F1B">
              <w:rPr>
                <w:rFonts w:ascii="Arial" w:hAnsi="Arial" w:cs="Arial"/>
              </w:rPr>
              <w:t xml:space="preserve"> </w:t>
            </w:r>
            <w:r w:rsidR="00764F09">
              <w:rPr>
                <w:rFonts w:ascii="Arial" w:hAnsi="Arial" w:cs="Arial"/>
              </w:rPr>
              <w:t>382.860</w:t>
            </w:r>
            <w:r>
              <w:rPr>
                <w:rFonts w:ascii="Arial" w:hAnsi="Arial" w:cs="Arial"/>
              </w:rPr>
              <w:t xml:space="preserve"> TON. </w:t>
            </w:r>
          </w:p>
        </w:tc>
      </w:tr>
      <w:tr w:rsidR="00022A64" w:rsidRPr="00764F09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Pr="00A76A17" w:rsidRDefault="00022A64" w:rsidP="009651CA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 xml:space="preserve">Reportes atendidos: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Orgánicos:</w:t>
            </w:r>
            <w:r w:rsidR="00041CA0">
              <w:rPr>
                <w:lang w:val="es-ES"/>
              </w:rPr>
              <w:t xml:space="preserve"> </w:t>
            </w:r>
            <w:r w:rsidR="00EA003E">
              <w:rPr>
                <w:lang w:val="es-ES"/>
              </w:rPr>
              <w:t>09</w:t>
            </w:r>
          </w:p>
          <w:p w:rsidR="00041CA0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Inorgánicos:</w:t>
            </w:r>
            <w:r>
              <w:rPr>
                <w:lang w:val="es-ES"/>
              </w:rPr>
              <w:t xml:space="preserve"> </w:t>
            </w:r>
            <w:r w:rsidR="00EA003E">
              <w:rPr>
                <w:lang w:val="es-ES"/>
              </w:rPr>
              <w:t>02</w:t>
            </w:r>
          </w:p>
          <w:p w:rsidR="00022A64" w:rsidRDefault="00022A64" w:rsidP="009651CA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Basura:</w:t>
            </w:r>
            <w:r>
              <w:rPr>
                <w:lang w:val="es-ES"/>
              </w:rPr>
              <w:t xml:space="preserve"> </w:t>
            </w:r>
            <w:r w:rsidR="00EA003E">
              <w:rPr>
                <w:lang w:val="es-ES"/>
              </w:rPr>
              <w:t>08</w:t>
            </w:r>
          </w:p>
          <w:p w:rsidR="00041CA0" w:rsidRDefault="00022A64" w:rsidP="00041CA0">
            <w:pPr>
              <w:rPr>
                <w:b/>
                <w:lang w:val="es-ES"/>
              </w:rPr>
            </w:pPr>
            <w:r w:rsidRPr="00A932FC">
              <w:rPr>
                <w:b/>
                <w:lang w:val="es-ES"/>
              </w:rPr>
              <w:t>Retirar animales muertos:</w:t>
            </w:r>
            <w:r w:rsidR="00EA003E">
              <w:rPr>
                <w:b/>
                <w:lang w:val="es-ES"/>
              </w:rPr>
              <w:t xml:space="preserve"> 08</w:t>
            </w:r>
            <w:r>
              <w:rPr>
                <w:b/>
                <w:lang w:val="es-ES"/>
              </w:rPr>
              <w:t xml:space="preserve"> </w:t>
            </w:r>
          </w:p>
          <w:p w:rsidR="00022A64" w:rsidRPr="00EE56B3" w:rsidRDefault="00022A64" w:rsidP="00041CA0">
            <w:pPr>
              <w:rPr>
                <w:lang w:val="es-ES"/>
              </w:rPr>
            </w:pPr>
          </w:p>
        </w:tc>
      </w:tr>
      <w:tr w:rsidR="00022A64" w:rsidRPr="00EA003E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Venta de inorgánicos del centro de acopio</w:t>
            </w:r>
            <w:r>
              <w:rPr>
                <w:lang w:val="es-ES"/>
              </w:rPr>
              <w:t xml:space="preserve">: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</w:t>
            </w:r>
            <w:r w:rsidR="00041CA0">
              <w:rPr>
                <w:lang w:val="es-ES"/>
              </w:rPr>
              <w:t>1010</w:t>
            </w:r>
            <w:r w:rsidR="001D4983">
              <w:rPr>
                <w:lang w:val="es-ES"/>
              </w:rPr>
              <w:t xml:space="preserve"> </w:t>
            </w:r>
            <w:proofErr w:type="spellStart"/>
            <w:r w:rsidR="001D4983">
              <w:rPr>
                <w:lang w:val="es-ES"/>
              </w:rPr>
              <w:t>Pzas</w:t>
            </w:r>
            <w:proofErr w:type="spellEnd"/>
            <w:r w:rsidR="001D4983">
              <w:rPr>
                <w:lang w:val="es-ES"/>
              </w:rPr>
              <w:t xml:space="preserve">. </w:t>
            </w:r>
          </w:p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</w:t>
            </w:r>
            <w:r w:rsidR="004A6373">
              <w:rPr>
                <w:lang w:val="es-ES"/>
              </w:rPr>
              <w:t>29 TON 724K</w:t>
            </w:r>
          </w:p>
          <w:p w:rsidR="00022A64" w:rsidRDefault="00022A64" w:rsidP="00041CA0">
            <w:pPr>
              <w:rPr>
                <w:lang w:val="es-ES"/>
              </w:rPr>
            </w:pPr>
            <w:r w:rsidRPr="00C00DE4">
              <w:rPr>
                <w:u w:val="single"/>
                <w:lang w:val="es-ES"/>
              </w:rPr>
              <w:t>Total:</w:t>
            </w:r>
            <w:r>
              <w:rPr>
                <w:lang w:val="es-ES"/>
              </w:rPr>
              <w:t xml:space="preserve"> $</w:t>
            </w:r>
            <w:r w:rsidR="00041CA0">
              <w:rPr>
                <w:lang w:val="es-ES"/>
              </w:rPr>
              <w:t>34,639.00</w:t>
            </w:r>
          </w:p>
          <w:p w:rsidR="003514EC" w:rsidRPr="003514EC" w:rsidRDefault="003514EC" w:rsidP="00041CA0">
            <w:pPr>
              <w:rPr>
                <w:b/>
                <w:lang w:val="es-ES"/>
              </w:rPr>
            </w:pPr>
            <w:r w:rsidRPr="003514EC">
              <w:rPr>
                <w:b/>
                <w:lang w:val="es-ES"/>
              </w:rPr>
              <w:t>Artículos entregados del Programa de Separación de Residuos.</w:t>
            </w:r>
          </w:p>
          <w:p w:rsidR="003514EC" w:rsidRPr="00765CF3" w:rsidRDefault="003514EC" w:rsidP="00041CA0">
            <w:pPr>
              <w:rPr>
                <w:lang w:val="es-ES"/>
              </w:rPr>
            </w:pPr>
            <w:r>
              <w:rPr>
                <w:lang w:val="es-ES"/>
              </w:rPr>
              <w:t xml:space="preserve">Se entregaron 264 (escobas de plástico, de palma, trapeador de </w:t>
            </w:r>
            <w:proofErr w:type="spellStart"/>
            <w:r>
              <w:rPr>
                <w:lang w:val="es-ES"/>
              </w:rPr>
              <w:t>magitel</w:t>
            </w:r>
            <w:proofErr w:type="spellEnd"/>
            <w:r>
              <w:rPr>
                <w:lang w:val="es-ES"/>
              </w:rPr>
              <w:t xml:space="preserve">, hilaza y </w:t>
            </w:r>
            <w:proofErr w:type="spellStart"/>
            <w:r>
              <w:rPr>
                <w:lang w:val="es-ES"/>
              </w:rPr>
              <w:t>pavilo</w:t>
            </w:r>
            <w:proofErr w:type="spellEnd"/>
            <w:r>
              <w:rPr>
                <w:lang w:val="es-ES"/>
              </w:rPr>
              <w:t xml:space="preserve">). </w:t>
            </w:r>
          </w:p>
        </w:tc>
      </w:tr>
      <w:tr w:rsidR="00022A64" w:rsidRPr="00EA003E" w:rsidTr="009651CA">
        <w:trPr>
          <w:trHeight w:val="1397"/>
        </w:trPr>
        <w:tc>
          <w:tcPr>
            <w:tcW w:w="2802" w:type="dxa"/>
          </w:tcPr>
          <w:p w:rsidR="00022A64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022A64" w:rsidRDefault="00022A64" w:rsidP="00022A64">
            <w:pPr>
              <w:rPr>
                <w:lang w:val="es-ES"/>
              </w:rPr>
            </w:pPr>
            <w:r w:rsidRPr="006E6E02">
              <w:rPr>
                <w:b/>
                <w:lang w:val="es-ES"/>
              </w:rPr>
              <w:t>Servicios de poda en</w:t>
            </w:r>
            <w:r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</w:t>
            </w:r>
            <w:r w:rsidR="00D242FC">
              <w:rPr>
                <w:lang w:val="es-ES"/>
              </w:rPr>
              <w:t>Cancha el progreso, parque Santa Cecilia, Hospital del primer contacto, Col. de los Maestros, Col. Tulipanes,  Col. Cristo Rey, carretera salida Autlán, Andador</w:t>
            </w:r>
            <w:r w:rsidR="00773B82">
              <w:rPr>
                <w:lang w:val="es-ES"/>
              </w:rPr>
              <w:t xml:space="preserve">, cancha el globo, periférico. Casa de la Cultura. </w:t>
            </w:r>
          </w:p>
          <w:p w:rsidR="00251FB7" w:rsidRPr="00251FB7" w:rsidRDefault="00251FB7" w:rsidP="00251FB7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Se podaron las calles: </w:t>
            </w:r>
            <w:r w:rsidR="00D242FC" w:rsidRPr="00D242FC">
              <w:rPr>
                <w:lang w:val="es-ES"/>
              </w:rPr>
              <w:t>Manuel Doblado</w:t>
            </w:r>
            <w:r w:rsidR="00D242FC">
              <w:rPr>
                <w:lang w:val="es-ES"/>
              </w:rPr>
              <w:t>,</w:t>
            </w:r>
          </w:p>
          <w:p w:rsidR="00251FB7" w:rsidRDefault="00251FB7" w:rsidP="00022A64">
            <w:pPr>
              <w:rPr>
                <w:lang w:val="es-ES"/>
              </w:rPr>
            </w:pPr>
            <w:r>
              <w:rPr>
                <w:b/>
                <w:lang w:val="es-ES"/>
              </w:rPr>
              <w:t>Apoyos de podas:</w:t>
            </w:r>
            <w:r w:rsidR="00022A64" w:rsidRPr="00251FB7">
              <w:rPr>
                <w:lang w:val="es-ES"/>
              </w:rPr>
              <w:t xml:space="preserve"> </w:t>
            </w:r>
            <w:r w:rsidR="005531C5">
              <w:rPr>
                <w:lang w:val="es-ES"/>
              </w:rPr>
              <w:t>Kínder</w:t>
            </w:r>
            <w:r w:rsidR="00D242FC">
              <w:rPr>
                <w:lang w:val="es-ES"/>
              </w:rPr>
              <w:t xml:space="preserve"> Gabilondo Soler, Telesecundaria de El Aguacate, </w:t>
            </w:r>
            <w:r w:rsidR="001D4983">
              <w:rPr>
                <w:lang w:val="es-ES"/>
              </w:rPr>
              <w:t>Kínder</w:t>
            </w:r>
            <w:r w:rsidR="00A625F7">
              <w:rPr>
                <w:lang w:val="es-ES"/>
              </w:rPr>
              <w:t xml:space="preserve"> Narciso Me</w:t>
            </w:r>
            <w:r w:rsidR="00D242FC">
              <w:rPr>
                <w:lang w:val="es-ES"/>
              </w:rPr>
              <w:t xml:space="preserve">ndoza. </w:t>
            </w:r>
          </w:p>
          <w:p w:rsidR="00022A64" w:rsidRPr="00251FB7" w:rsidRDefault="00251FB7" w:rsidP="00D242FC">
            <w:pPr>
              <w:rPr>
                <w:b/>
                <w:lang w:val="es-ES"/>
              </w:rPr>
            </w:pPr>
            <w:r w:rsidRPr="00251FB7">
              <w:rPr>
                <w:b/>
                <w:lang w:val="es-ES"/>
              </w:rPr>
              <w:t>Poda en las localidades:</w:t>
            </w:r>
            <w:r>
              <w:rPr>
                <w:b/>
                <w:lang w:val="es-ES"/>
              </w:rPr>
              <w:t xml:space="preserve"> </w:t>
            </w:r>
            <w:r w:rsidR="00773B82">
              <w:rPr>
                <w:lang w:val="es-ES"/>
              </w:rPr>
              <w:t xml:space="preserve">Ayuquila, </w:t>
            </w:r>
            <w:r w:rsidRPr="00251FB7">
              <w:rPr>
                <w:lang w:val="es-ES"/>
              </w:rPr>
              <w:t>El Cacalote</w:t>
            </w:r>
            <w:r w:rsidR="00773B82">
              <w:rPr>
                <w:lang w:val="es-ES"/>
              </w:rPr>
              <w:t>, Puerta de Barro, Aguacate</w:t>
            </w:r>
            <w:r w:rsidRPr="00251FB7">
              <w:rPr>
                <w:lang w:val="es-ES"/>
              </w:rPr>
              <w:t>.</w:t>
            </w:r>
            <w:r>
              <w:rPr>
                <w:b/>
                <w:lang w:val="es-ES"/>
              </w:rPr>
              <w:t xml:space="preserve"> </w:t>
            </w:r>
            <w:r w:rsidRPr="00251FB7">
              <w:rPr>
                <w:b/>
                <w:lang w:val="es-ES"/>
              </w:rPr>
              <w:t xml:space="preserve">  </w:t>
            </w:r>
          </w:p>
        </w:tc>
      </w:tr>
      <w:tr w:rsidR="00022A64" w:rsidRPr="00EA003E" w:rsidTr="009651CA">
        <w:trPr>
          <w:trHeight w:val="1397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Alumbrado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Lámparas reparadas</w:t>
            </w:r>
            <w:r w:rsidR="00A625F7">
              <w:rPr>
                <w:lang w:val="es-ES"/>
              </w:rPr>
              <w:t>: 53</w:t>
            </w:r>
          </w:p>
          <w:p w:rsidR="00A625F7" w:rsidRDefault="00022A64" w:rsidP="00022A64">
            <w:pPr>
              <w:rPr>
                <w:b/>
                <w:lang w:val="es-ES"/>
              </w:rPr>
            </w:pPr>
            <w:r w:rsidRPr="009225AE">
              <w:rPr>
                <w:b/>
                <w:lang w:val="es-ES"/>
              </w:rPr>
              <w:t>Servicios eléctricos en:</w:t>
            </w:r>
            <w:r w:rsidR="00CB39CD">
              <w:rPr>
                <w:b/>
                <w:lang w:val="es-ES"/>
              </w:rPr>
              <w:t xml:space="preserve"> </w:t>
            </w:r>
            <w:r w:rsidR="00CB39CD" w:rsidRPr="00421C3D">
              <w:rPr>
                <w:lang w:val="es-ES"/>
              </w:rPr>
              <w:t xml:space="preserve">Casa de la Cultura, cancha de Ayuquila, </w:t>
            </w:r>
            <w:r w:rsidR="00421C3D" w:rsidRPr="00421C3D">
              <w:rPr>
                <w:lang w:val="es-ES"/>
              </w:rPr>
              <w:t>jardín, glorieta, el domo y periférico.</w:t>
            </w:r>
          </w:p>
          <w:p w:rsidR="00022A64" w:rsidRPr="00022A64" w:rsidRDefault="00022A64" w:rsidP="00421C3D">
            <w:pPr>
              <w:rPr>
                <w:b/>
                <w:lang w:val="es-ES"/>
              </w:rPr>
            </w:pPr>
            <w:r w:rsidRPr="00022A64">
              <w:rPr>
                <w:b/>
                <w:lang w:val="es-ES"/>
              </w:rPr>
              <w:t xml:space="preserve">Apoyos: </w:t>
            </w:r>
            <w:r w:rsidR="00421C3D" w:rsidRPr="00421C3D">
              <w:rPr>
                <w:lang w:val="es-ES"/>
              </w:rPr>
              <w:t xml:space="preserve">Esc. Manuel </w:t>
            </w:r>
            <w:r w:rsidR="005531C5" w:rsidRPr="00421C3D">
              <w:rPr>
                <w:lang w:val="es-ES"/>
              </w:rPr>
              <w:t>Ávila</w:t>
            </w:r>
            <w:r w:rsidR="00421C3D" w:rsidRPr="00421C3D">
              <w:rPr>
                <w:lang w:val="es-ES"/>
              </w:rPr>
              <w:t xml:space="preserve"> Camacho, </w:t>
            </w:r>
            <w:r w:rsidR="005531C5" w:rsidRPr="00421C3D">
              <w:rPr>
                <w:lang w:val="es-ES"/>
              </w:rPr>
              <w:t>Kínder</w:t>
            </w:r>
            <w:r w:rsidR="00421C3D" w:rsidRPr="00421C3D">
              <w:rPr>
                <w:lang w:val="es-ES"/>
              </w:rPr>
              <w:t xml:space="preserve"> Gabilondo Soler y en la calle López Mateos en el Cacalote.</w:t>
            </w:r>
            <w:r w:rsidR="00421C3D">
              <w:rPr>
                <w:b/>
                <w:lang w:val="es-ES"/>
              </w:rPr>
              <w:t xml:space="preserve"> </w:t>
            </w:r>
          </w:p>
        </w:tc>
      </w:tr>
      <w:tr w:rsidR="00022A64" w:rsidRPr="00EA003E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</w:t>
            </w:r>
            <w:r w:rsidR="00421C3D">
              <w:rPr>
                <w:lang w:val="es-ES"/>
              </w:rPr>
              <w:t>09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Constancias:</w:t>
            </w:r>
            <w:r w:rsidR="00421C3D">
              <w:rPr>
                <w:lang w:val="es-ES"/>
              </w:rPr>
              <w:t xml:space="preserve"> 04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Manifestaciones:</w:t>
            </w:r>
            <w:r w:rsidR="00421C3D">
              <w:rPr>
                <w:lang w:val="es-ES"/>
              </w:rPr>
              <w:t xml:space="preserve"> 06</w:t>
            </w:r>
          </w:p>
          <w:p w:rsidR="00B942D3" w:rsidRDefault="00B942D3" w:rsidP="009651CA">
            <w:pPr>
              <w:rPr>
                <w:lang w:val="es-ES"/>
              </w:rPr>
            </w:pPr>
            <w:r>
              <w:rPr>
                <w:b/>
                <w:lang w:val="es-ES"/>
              </w:rPr>
              <w:t>Permisos de remodelació</w:t>
            </w:r>
            <w:r w:rsidRPr="00B942D3">
              <w:rPr>
                <w:b/>
                <w:lang w:val="es-ES"/>
              </w:rPr>
              <w:t>n:</w:t>
            </w:r>
            <w:r w:rsidR="00421C3D">
              <w:rPr>
                <w:lang w:val="es-ES"/>
              </w:rPr>
              <w:t xml:space="preserve"> 0</w:t>
            </w:r>
          </w:p>
          <w:p w:rsidR="00B942D3" w:rsidRDefault="00B942D3" w:rsidP="009651CA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Ventas de espacios:</w:t>
            </w:r>
            <w:r w:rsidR="00421C3D">
              <w:rPr>
                <w:lang w:val="es-ES"/>
              </w:rPr>
              <w:t xml:space="preserve"> 02</w:t>
            </w:r>
          </w:p>
          <w:p w:rsidR="00022A64" w:rsidRPr="00765CF3" w:rsidRDefault="00B942D3" w:rsidP="00421C3D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Fosas donadas (personas de escasos recursos:</w:t>
            </w:r>
            <w:r w:rsidR="00421C3D">
              <w:rPr>
                <w:lang w:val="es-ES"/>
              </w:rPr>
              <w:t xml:space="preserve"> 01</w:t>
            </w:r>
          </w:p>
        </w:tc>
      </w:tr>
      <w:tr w:rsidR="00022A64" w:rsidRPr="00BB7FAC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Rastro</w:t>
            </w:r>
          </w:p>
        </w:tc>
        <w:tc>
          <w:tcPr>
            <w:tcW w:w="10631" w:type="dxa"/>
          </w:tcPr>
          <w:p w:rsidR="00022A64" w:rsidRPr="00664D56" w:rsidRDefault="00022A64" w:rsidP="009651CA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Sacrificios.</w:t>
            </w:r>
          </w:p>
          <w:p w:rsidR="00022A64" w:rsidRDefault="00022A64" w:rsidP="009651CA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</w:t>
            </w:r>
            <w:r w:rsidR="00421C3D">
              <w:rPr>
                <w:lang w:val="es-ES"/>
              </w:rPr>
              <w:t>80</w:t>
            </w:r>
          </w:p>
          <w:p w:rsidR="00022A64" w:rsidRPr="00765CF3" w:rsidRDefault="00022A64" w:rsidP="00E8521E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Porcino:</w:t>
            </w:r>
            <w:r>
              <w:rPr>
                <w:b/>
                <w:lang w:val="es-ES"/>
              </w:rPr>
              <w:t xml:space="preserve"> </w:t>
            </w:r>
            <w:r w:rsidR="00E8521E">
              <w:rPr>
                <w:lang w:val="es-ES"/>
              </w:rPr>
              <w:t>84</w:t>
            </w:r>
            <w:r w:rsidR="00421C3D">
              <w:rPr>
                <w:lang w:val="es-ES"/>
              </w:rPr>
              <w:t>4</w:t>
            </w:r>
          </w:p>
        </w:tc>
      </w:tr>
      <w:tr w:rsidR="00022A64" w:rsidRPr="00EA003E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022A64" w:rsidRPr="00765CF3" w:rsidRDefault="00022A64" w:rsidP="00421C3D">
            <w:pPr>
              <w:rPr>
                <w:lang w:val="es-ES"/>
              </w:rPr>
            </w:pPr>
            <w:r>
              <w:rPr>
                <w:b/>
                <w:u w:val="single"/>
                <w:lang w:val="es-ES"/>
              </w:rPr>
              <w:t>Se pintó</w:t>
            </w:r>
            <w:r w:rsidRPr="00664D56">
              <w:rPr>
                <w:b/>
                <w:u w:val="single"/>
                <w:lang w:val="es-ES"/>
              </w:rPr>
              <w:t xml:space="preserve"> en:</w:t>
            </w:r>
            <w:r>
              <w:rPr>
                <w:lang w:val="es-ES"/>
              </w:rPr>
              <w:t xml:space="preserve"> Se</w:t>
            </w:r>
            <w:r w:rsidR="00E8521E">
              <w:rPr>
                <w:lang w:val="es-ES"/>
              </w:rPr>
              <w:t xml:space="preserve"> </w:t>
            </w:r>
            <w:r w:rsidR="00421C3D">
              <w:rPr>
                <w:lang w:val="es-ES"/>
              </w:rPr>
              <w:t>pinto la  Casa de la Cultura en su sexta etapa.</w:t>
            </w:r>
            <w:r w:rsidR="00E8521E">
              <w:rPr>
                <w:lang w:val="es-ES"/>
              </w:rPr>
              <w:t xml:space="preserve"> </w:t>
            </w:r>
          </w:p>
        </w:tc>
      </w:tr>
      <w:tr w:rsidR="00022A64" w:rsidRPr="00EA003E" w:rsidTr="009651CA">
        <w:trPr>
          <w:trHeight w:val="635"/>
        </w:trPr>
        <w:tc>
          <w:tcPr>
            <w:tcW w:w="2802" w:type="dxa"/>
          </w:tcPr>
          <w:p w:rsidR="00022A64" w:rsidRPr="00765CF3" w:rsidRDefault="00022A64" w:rsidP="009651CA">
            <w:pPr>
              <w:rPr>
                <w:lang w:val="es-ES"/>
              </w:rPr>
            </w:pPr>
            <w:r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E8521E" w:rsidRDefault="00022A64" w:rsidP="00E8521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dieron</w:t>
            </w:r>
            <w:r w:rsidRPr="0083267D">
              <w:rPr>
                <w:b/>
                <w:lang w:val="es-ES"/>
              </w:rPr>
              <w:t xml:space="preserve"> servicio en:</w:t>
            </w:r>
            <w:r w:rsidR="00E8521E">
              <w:rPr>
                <w:b/>
                <w:lang w:val="es-ES"/>
              </w:rPr>
              <w:t xml:space="preserve"> </w:t>
            </w:r>
            <w:r w:rsidR="00421C3D">
              <w:rPr>
                <w:lang w:val="es-ES"/>
              </w:rPr>
              <w:t xml:space="preserve">cancha el globo, unidad deportiva, el domo, alameda, presidencia, fuentes, </w:t>
            </w:r>
          </w:p>
          <w:p w:rsidR="00022A64" w:rsidRPr="00765CF3" w:rsidRDefault="00E8521E" w:rsidP="00421C3D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Apoyos: </w:t>
            </w:r>
            <w:r w:rsidRPr="00E8521E">
              <w:rPr>
                <w:lang w:val="es-ES"/>
              </w:rPr>
              <w:t>Esc. Secundaría de Ayuquila</w:t>
            </w:r>
            <w:r w:rsidR="00421C3D">
              <w:rPr>
                <w:lang w:val="es-ES"/>
              </w:rPr>
              <w:t xml:space="preserve">. </w:t>
            </w:r>
            <w:r w:rsidRPr="00E8521E">
              <w:rPr>
                <w:lang w:val="es-ES"/>
              </w:rPr>
              <w:t xml:space="preserve"> </w:t>
            </w:r>
          </w:p>
        </w:tc>
      </w:tr>
    </w:tbl>
    <w:p w:rsidR="00022A64" w:rsidRDefault="00022A64" w:rsidP="005531C5">
      <w:pPr>
        <w:rPr>
          <w:lang w:val="es-ES"/>
        </w:rPr>
      </w:pPr>
    </w:p>
    <w:sectPr w:rsidR="00022A64" w:rsidSect="00022A64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38F" w:rsidRDefault="0025438F" w:rsidP="00EA003E">
      <w:r>
        <w:separator/>
      </w:r>
    </w:p>
  </w:endnote>
  <w:endnote w:type="continuationSeparator" w:id="0">
    <w:p w:rsidR="0025438F" w:rsidRDefault="0025438F" w:rsidP="00EA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3E" w:rsidRDefault="00EA003E" w:rsidP="00EA003E">
    <w:pPr>
      <w:pStyle w:val="Encabezado"/>
      <w:rPr>
        <w:lang w:val="es-ES"/>
      </w:rPr>
    </w:pPr>
    <w:r>
      <w:rPr>
        <w:lang w:val="es-ES"/>
      </w:rPr>
      <w:t>C. María Guadalupe Zamora Murillo.</w:t>
    </w:r>
  </w:p>
  <w:p w:rsidR="00EA003E" w:rsidRPr="00EA003E" w:rsidRDefault="00EA003E" w:rsidP="00EA003E">
    <w:pPr>
      <w:pStyle w:val="Encabezado"/>
      <w:rPr>
        <w:lang w:val="es-ES"/>
      </w:rPr>
    </w:pPr>
    <w:r>
      <w:rPr>
        <w:lang w:val="es-ES"/>
      </w:rPr>
      <w:t xml:space="preserve">Director de Servicios Públicos Municipales. </w:t>
    </w:r>
  </w:p>
  <w:p w:rsidR="00EA003E" w:rsidRPr="00EA003E" w:rsidRDefault="00EA003E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38F" w:rsidRDefault="0025438F" w:rsidP="00EA003E">
      <w:r>
        <w:separator/>
      </w:r>
    </w:p>
  </w:footnote>
  <w:footnote w:type="continuationSeparator" w:id="0">
    <w:p w:rsidR="0025438F" w:rsidRDefault="0025438F" w:rsidP="00EA0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3E" w:rsidRPr="00EA003E" w:rsidRDefault="00EA003E" w:rsidP="00EA003E">
    <w:pPr>
      <w:pStyle w:val="Encabezado"/>
    </w:pPr>
    <w:r w:rsidRPr="00EA003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A64"/>
    <w:rsid w:val="00022A64"/>
    <w:rsid w:val="00041CA0"/>
    <w:rsid w:val="0007363A"/>
    <w:rsid w:val="0016040E"/>
    <w:rsid w:val="00164F9A"/>
    <w:rsid w:val="00174C9B"/>
    <w:rsid w:val="001D4983"/>
    <w:rsid w:val="00200686"/>
    <w:rsid w:val="0023171F"/>
    <w:rsid w:val="00251FB7"/>
    <w:rsid w:val="0025438F"/>
    <w:rsid w:val="002D0D0E"/>
    <w:rsid w:val="003514EC"/>
    <w:rsid w:val="00421C3D"/>
    <w:rsid w:val="0043546F"/>
    <w:rsid w:val="00485C82"/>
    <w:rsid w:val="004A6373"/>
    <w:rsid w:val="0054632C"/>
    <w:rsid w:val="00553092"/>
    <w:rsid w:val="005531C5"/>
    <w:rsid w:val="005650C4"/>
    <w:rsid w:val="006D631D"/>
    <w:rsid w:val="00764F09"/>
    <w:rsid w:val="00773B82"/>
    <w:rsid w:val="00A063B7"/>
    <w:rsid w:val="00A625F7"/>
    <w:rsid w:val="00B942D3"/>
    <w:rsid w:val="00BC5FF6"/>
    <w:rsid w:val="00C919DF"/>
    <w:rsid w:val="00CB39CD"/>
    <w:rsid w:val="00D242FC"/>
    <w:rsid w:val="00D35C94"/>
    <w:rsid w:val="00DF40D5"/>
    <w:rsid w:val="00E30D53"/>
    <w:rsid w:val="00E77333"/>
    <w:rsid w:val="00E8521E"/>
    <w:rsid w:val="00E85F63"/>
    <w:rsid w:val="00EA003E"/>
    <w:rsid w:val="00E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A64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22A64"/>
    <w:rPr>
      <w:rFonts w:ascii="Times New Roman" w:eastAsia="Times New Roman" w:hAnsi="Times New Roman" w:cs="Times New Roman"/>
      <w:i/>
      <w:sz w:val="31"/>
      <w:szCs w:val="3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2A64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styleId="NormalWeb">
    <w:name w:val="Normal (Web)"/>
    <w:basedOn w:val="Normal"/>
    <w:uiPriority w:val="99"/>
    <w:unhideWhenUsed/>
    <w:rsid w:val="00022A64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022A6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2A64"/>
    <w:pPr>
      <w:widowControl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A00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A003E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A0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A003E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0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03E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28</cp:revision>
  <cp:lastPrinted>2017-04-24T14:59:00Z</cp:lastPrinted>
  <dcterms:created xsi:type="dcterms:W3CDTF">2017-04-18T19:24:00Z</dcterms:created>
  <dcterms:modified xsi:type="dcterms:W3CDTF">2017-04-24T15:00:00Z</dcterms:modified>
</cp:coreProperties>
</file>